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line="240" w:lineRule="auto"/>
        <w:ind w:firstLine="0" w:firstLineChars="0"/>
        <w:jc w:val="both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附件1：</w:t>
      </w:r>
    </w:p>
    <w:p>
      <w:pPr>
        <w:widowControl w:val="0"/>
        <w:spacing w:line="240" w:lineRule="auto"/>
        <w:ind w:firstLine="0" w:firstLineChars="0"/>
        <w:jc w:val="center"/>
        <w:rPr>
          <w:rFonts w:ascii="方正小标宋简体" w:hAnsi="华文中宋" w:eastAsia="方正小标宋简体" w:cs="华文中宋"/>
          <w:sz w:val="36"/>
          <w:szCs w:val="36"/>
        </w:rPr>
      </w:pPr>
      <w:r>
        <w:rPr>
          <w:rFonts w:hint="eastAsia" w:ascii="方正小标宋简体" w:hAnsi="华文中宋" w:eastAsia="方正小标宋简体" w:cs="华文中宋"/>
          <w:sz w:val="36"/>
          <w:szCs w:val="36"/>
        </w:rPr>
        <w:t>江西省设施农业用地正面清单</w:t>
      </w:r>
    </w:p>
    <w:tbl>
      <w:tblPr>
        <w:tblStyle w:val="27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7"/>
        <w:gridCol w:w="2649"/>
        <w:gridCol w:w="2649"/>
        <w:gridCol w:w="26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577" w:type="dxa"/>
            <w:vAlign w:val="center"/>
          </w:tcPr>
          <w:p>
            <w:pPr>
              <w:widowControl w:val="0"/>
              <w:ind w:firstLine="0" w:firstLineChars="0"/>
              <w:jc w:val="center"/>
              <w:textAlignment w:val="top"/>
              <w:rPr>
                <w:rFonts w:ascii="仿宋_GB2312" w:hAnsi="仿宋_GB2312" w:eastAsia="宋体" w:cs="仿宋_GB2312"/>
                <w:kern w:val="0"/>
                <w:sz w:val="24"/>
                <w:szCs w:val="24"/>
              </w:rPr>
            </w:pPr>
          </w:p>
        </w:tc>
        <w:tc>
          <w:tcPr>
            <w:tcW w:w="2649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szCs w:val="24"/>
                <w:lang w:bidi="ar"/>
              </w:rPr>
              <w:t>作物种植</w:t>
            </w:r>
          </w:p>
        </w:tc>
        <w:tc>
          <w:tcPr>
            <w:tcW w:w="2649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szCs w:val="24"/>
                <w:lang w:bidi="ar"/>
              </w:rPr>
              <w:t>畜禽养殖</w:t>
            </w:r>
          </w:p>
        </w:tc>
        <w:tc>
          <w:tcPr>
            <w:tcW w:w="2647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szCs w:val="24"/>
                <w:lang w:bidi="ar"/>
              </w:rPr>
              <w:t>水产养殖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7" w:hRule="atLeast"/>
          <w:jc w:val="center"/>
        </w:trPr>
        <w:tc>
          <w:tcPr>
            <w:tcW w:w="577" w:type="dxa"/>
            <w:vMerge w:val="restart"/>
            <w:vAlign w:val="center"/>
          </w:tcPr>
          <w:p>
            <w:pPr>
              <w:widowControl w:val="0"/>
              <w:ind w:firstLine="0" w:firstLineChars="0"/>
              <w:jc w:val="center"/>
              <w:textAlignment w:val="top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生产设施</w:t>
            </w:r>
          </w:p>
        </w:tc>
        <w:tc>
          <w:tcPr>
            <w:tcW w:w="2649" w:type="dxa"/>
            <w:vAlign w:val="center"/>
          </w:tcPr>
          <w:p>
            <w:pPr>
              <w:widowControl w:val="0"/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工厂化作物栽培中有钢架结构的玻璃或PC板连栋温室用地、塑料大棚、遮荫棚等；育秧育种育苗场所；食用菌工厂化生产用地</w:t>
            </w:r>
          </w:p>
        </w:tc>
        <w:tc>
          <w:tcPr>
            <w:tcW w:w="2649" w:type="dxa"/>
            <w:vAlign w:val="center"/>
          </w:tcPr>
          <w:p>
            <w:pPr>
              <w:widowControl w:val="0"/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畜禽圈舍，饲料配制场所，活动训练场所，鲜蛋收集、挤奶、孵化、剪毛等产品收集、分拣包装场所，人员、畜禽及其产品、车辆等消毒场所，兽医室，家畜采精室、人工授精室，绿化隔离带、场内通道、进排水渠道等设施用地</w:t>
            </w:r>
          </w:p>
        </w:tc>
        <w:tc>
          <w:tcPr>
            <w:tcW w:w="2647" w:type="dxa"/>
            <w:vAlign w:val="center"/>
          </w:tcPr>
          <w:p>
            <w:pPr>
              <w:widowControl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硬化养殖池、给排水设施、亲本培育系统、苗种培育系统、成鱼养殖设施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577" w:type="dxa"/>
            <w:vMerge w:val="continue"/>
            <w:vAlign w:val="center"/>
          </w:tcPr>
          <w:p>
            <w:pPr>
              <w:widowControl w:val="0"/>
              <w:ind w:firstLine="0" w:firstLineChars="0"/>
              <w:jc w:val="center"/>
              <w:textAlignment w:val="top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649" w:type="dxa"/>
            <w:vAlign w:val="center"/>
          </w:tcPr>
          <w:p>
            <w:pPr>
              <w:widowControl w:val="0"/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连栋温室（大棚）的内部主要通道（宽度≤3m），其它棚室的内部通道（宽度1m）</w:t>
            </w:r>
          </w:p>
        </w:tc>
        <w:tc>
          <w:tcPr>
            <w:tcW w:w="2649" w:type="dxa"/>
            <w:vAlign w:val="center"/>
          </w:tcPr>
          <w:p>
            <w:pPr>
              <w:widowControl w:val="0"/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内部通道（宽度≤3m）。</w:t>
            </w:r>
          </w:p>
        </w:tc>
        <w:tc>
          <w:tcPr>
            <w:tcW w:w="2647" w:type="dxa"/>
            <w:vAlign w:val="center"/>
          </w:tcPr>
          <w:p>
            <w:pPr>
              <w:widowControl w:val="0"/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内部通道（宽度≤3m）。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  <w:jc w:val="center"/>
        </w:trPr>
        <w:tc>
          <w:tcPr>
            <w:tcW w:w="577" w:type="dxa"/>
            <w:vMerge w:val="restart"/>
            <w:vAlign w:val="center"/>
          </w:tcPr>
          <w:p>
            <w:pPr>
              <w:widowControl w:val="0"/>
              <w:ind w:firstLine="0" w:firstLineChars="0"/>
              <w:jc w:val="center"/>
              <w:textAlignment w:val="top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辅助设施</w:t>
            </w:r>
          </w:p>
        </w:tc>
        <w:tc>
          <w:tcPr>
            <w:tcW w:w="2649" w:type="dxa"/>
            <w:vAlign w:val="center"/>
          </w:tcPr>
          <w:p>
            <w:pPr>
              <w:widowControl w:val="0"/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作物种植、栽培生产配套的植物检验检疫监测、植物病虫害防治等用地</w:t>
            </w:r>
          </w:p>
        </w:tc>
        <w:tc>
          <w:tcPr>
            <w:tcW w:w="2649" w:type="dxa"/>
            <w:vAlign w:val="center"/>
          </w:tcPr>
          <w:p>
            <w:pPr>
              <w:widowControl w:val="0"/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养殖生产配套的检验检疫监测、动物疫病防治、引种隔离、洗消转运、病死动物无害化处理等用地</w:t>
            </w:r>
          </w:p>
        </w:tc>
        <w:tc>
          <w:tcPr>
            <w:tcW w:w="2647" w:type="dxa"/>
            <w:vAlign w:val="center"/>
          </w:tcPr>
          <w:p>
            <w:pPr>
              <w:widowControl w:val="0"/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无害化处理设施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  <w:jc w:val="center"/>
        </w:trPr>
        <w:tc>
          <w:tcPr>
            <w:tcW w:w="577" w:type="dxa"/>
            <w:vMerge w:val="continue"/>
            <w:vAlign w:val="center"/>
          </w:tcPr>
          <w:p>
            <w:pPr>
              <w:widowControl w:val="0"/>
              <w:ind w:firstLine="0" w:firstLineChars="0"/>
              <w:jc w:val="center"/>
              <w:textAlignment w:val="top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649" w:type="dxa"/>
            <w:vAlign w:val="center"/>
          </w:tcPr>
          <w:p>
            <w:pPr>
              <w:widowControl w:val="0"/>
              <w:shd w:val="clear" w:color="auto" w:fill="FFFFFF"/>
              <w:spacing w:before="180"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直接为农作物生产服务的农资和农机具存放场所</w:t>
            </w:r>
          </w:p>
        </w:tc>
        <w:tc>
          <w:tcPr>
            <w:tcW w:w="2649" w:type="dxa"/>
            <w:vAlign w:val="center"/>
          </w:tcPr>
          <w:p>
            <w:pPr>
              <w:widowControl w:val="0"/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饲料（草）储存等直接为养殖生产服务的生产资料存放场所</w:t>
            </w:r>
          </w:p>
        </w:tc>
        <w:tc>
          <w:tcPr>
            <w:tcW w:w="2647" w:type="dxa"/>
            <w:vAlign w:val="center"/>
          </w:tcPr>
          <w:p>
            <w:pPr>
              <w:widowControl w:val="0"/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饲料、药物存放场所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577" w:type="dxa"/>
            <w:vMerge w:val="continue"/>
            <w:vAlign w:val="center"/>
          </w:tcPr>
          <w:p>
            <w:pPr>
              <w:widowControl w:val="0"/>
              <w:ind w:firstLine="0" w:firstLineChars="0"/>
              <w:jc w:val="center"/>
              <w:textAlignment w:val="top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649" w:type="dxa"/>
            <w:vAlign w:val="center"/>
          </w:tcPr>
          <w:p>
            <w:pPr>
              <w:widowControl w:val="0"/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生产准备、分拣包装、农产品初加工场所、烘烟房、炒茶车间、规模化粮食生产经营者自产稻谷加工用地</w:t>
            </w:r>
          </w:p>
        </w:tc>
        <w:tc>
          <w:tcPr>
            <w:tcW w:w="2649" w:type="dxa"/>
            <w:vAlign w:val="center"/>
          </w:tcPr>
          <w:p>
            <w:pPr>
              <w:widowControl w:val="0"/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农产品初加工场所、生产直接关联的生物质（有机）肥料生产用地</w:t>
            </w:r>
          </w:p>
        </w:tc>
        <w:tc>
          <w:tcPr>
            <w:tcW w:w="2647" w:type="dxa"/>
            <w:vAlign w:val="center"/>
          </w:tcPr>
          <w:p>
            <w:pPr>
              <w:widowControl w:val="0"/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生产直接关联的生物质（有机）肥料生产用地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577" w:type="dxa"/>
            <w:vMerge w:val="continue"/>
            <w:vAlign w:val="center"/>
          </w:tcPr>
          <w:p>
            <w:pPr>
              <w:widowControl w:val="0"/>
              <w:ind w:firstLine="0" w:firstLineChars="0"/>
              <w:jc w:val="center"/>
              <w:textAlignment w:val="top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649" w:type="dxa"/>
            <w:vAlign w:val="center"/>
          </w:tcPr>
          <w:p>
            <w:pPr>
              <w:widowControl w:val="0"/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调控设施设备间、能源供应设施等</w:t>
            </w:r>
          </w:p>
        </w:tc>
        <w:tc>
          <w:tcPr>
            <w:tcW w:w="2649" w:type="dxa"/>
            <w:vAlign w:val="center"/>
          </w:tcPr>
          <w:p>
            <w:pPr>
              <w:widowControl w:val="0"/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调控设施设备间、能源供应设施等</w:t>
            </w:r>
          </w:p>
        </w:tc>
        <w:tc>
          <w:tcPr>
            <w:tcW w:w="2647" w:type="dxa"/>
            <w:vAlign w:val="center"/>
          </w:tcPr>
          <w:p>
            <w:pPr>
              <w:widowControl w:val="0"/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调控设施设备间、能源供应设施等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577" w:type="dxa"/>
            <w:vMerge w:val="continue"/>
            <w:vAlign w:val="center"/>
          </w:tcPr>
          <w:p>
            <w:pPr>
              <w:widowControl w:val="0"/>
              <w:ind w:firstLine="0" w:firstLineChars="0"/>
              <w:jc w:val="center"/>
              <w:textAlignment w:val="top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649" w:type="dxa"/>
            <w:vAlign w:val="center"/>
          </w:tcPr>
          <w:p>
            <w:pPr>
              <w:widowControl w:val="0"/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农产品预冷、保鲜存储的临时冷库或仓库</w:t>
            </w:r>
          </w:p>
        </w:tc>
        <w:tc>
          <w:tcPr>
            <w:tcW w:w="2649" w:type="dxa"/>
            <w:vAlign w:val="center"/>
          </w:tcPr>
          <w:p>
            <w:pPr>
              <w:widowControl w:val="0"/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产品存储、冷藏、冷冻场所</w:t>
            </w:r>
          </w:p>
        </w:tc>
        <w:tc>
          <w:tcPr>
            <w:tcW w:w="2647" w:type="dxa"/>
            <w:vAlign w:val="center"/>
          </w:tcPr>
          <w:p>
            <w:pPr>
              <w:widowControl w:val="0"/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鲜鱼运输、打氧、冷库等保鲜设施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577" w:type="dxa"/>
            <w:vMerge w:val="continue"/>
            <w:vAlign w:val="center"/>
          </w:tcPr>
          <w:p>
            <w:pPr>
              <w:widowControl w:val="0"/>
              <w:ind w:firstLine="0" w:firstLineChars="0"/>
              <w:jc w:val="center"/>
              <w:textAlignment w:val="top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649" w:type="dxa"/>
            <w:vAlign w:val="center"/>
          </w:tcPr>
          <w:p>
            <w:pPr>
              <w:widowControl w:val="0"/>
              <w:shd w:val="clear" w:color="auto" w:fill="FFFFFF"/>
              <w:spacing w:before="180"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废弃物、水处理设施、生产经营户作物栽培中产生的秸秆等废弃物收集、存储、处理场所及环保设施等用地</w:t>
            </w:r>
          </w:p>
        </w:tc>
        <w:tc>
          <w:tcPr>
            <w:tcW w:w="2649" w:type="dxa"/>
            <w:vAlign w:val="center"/>
          </w:tcPr>
          <w:p>
            <w:pPr>
              <w:widowControl w:val="0"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畜禽粪便、污水等收集、存储、处理、利用等环保设施及场所</w:t>
            </w:r>
          </w:p>
        </w:tc>
        <w:tc>
          <w:tcPr>
            <w:tcW w:w="2647" w:type="dxa"/>
            <w:vAlign w:val="center"/>
          </w:tcPr>
          <w:p>
            <w:pPr>
              <w:widowControl w:val="0"/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水产养殖水处理、抽水机房、泵房等用地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  <w:jc w:val="center"/>
        </w:trPr>
        <w:tc>
          <w:tcPr>
            <w:tcW w:w="577" w:type="dxa"/>
            <w:vMerge w:val="continue"/>
            <w:vAlign w:val="center"/>
          </w:tcPr>
          <w:p>
            <w:pPr>
              <w:widowControl w:val="0"/>
              <w:ind w:firstLine="0" w:firstLineChars="0"/>
              <w:jc w:val="center"/>
              <w:textAlignment w:val="top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649" w:type="dxa"/>
            <w:vAlign w:val="center"/>
          </w:tcPr>
          <w:p>
            <w:pPr>
              <w:widowControl w:val="0"/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直接依附于作物种植主业，与主业同步建设，无法分割独立存在的烘干晾晒设施，以及农业生产直接相关的农作物晾晒场，包括农闲时临时用于非营利性停车场、村民健身等公共服务用地</w:t>
            </w:r>
          </w:p>
        </w:tc>
        <w:tc>
          <w:tcPr>
            <w:tcW w:w="2649" w:type="dxa"/>
            <w:vAlign w:val="center"/>
          </w:tcPr>
          <w:p>
            <w:pPr>
              <w:widowControl w:val="0"/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647" w:type="dxa"/>
            <w:vAlign w:val="center"/>
          </w:tcPr>
          <w:p>
            <w:pPr>
              <w:widowControl w:val="0"/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  <w:jc w:val="center"/>
        </w:trPr>
        <w:tc>
          <w:tcPr>
            <w:tcW w:w="577" w:type="dxa"/>
            <w:vMerge w:val="continue"/>
            <w:vAlign w:val="center"/>
          </w:tcPr>
          <w:p>
            <w:pPr>
              <w:widowControl w:val="0"/>
              <w:ind w:firstLine="0" w:firstLineChars="0"/>
              <w:jc w:val="center"/>
              <w:textAlignment w:val="top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649" w:type="dxa"/>
            <w:vAlign w:val="center"/>
          </w:tcPr>
          <w:p>
            <w:pPr>
              <w:widowControl w:val="0"/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  <w:lang w:bidi="ar"/>
              </w:rPr>
              <w:t>简易的生产看护房（≤15平方米）</w:t>
            </w:r>
          </w:p>
        </w:tc>
        <w:tc>
          <w:tcPr>
            <w:tcW w:w="2649" w:type="dxa"/>
            <w:vAlign w:val="center"/>
          </w:tcPr>
          <w:p>
            <w:pPr>
              <w:widowControl w:val="0"/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管理用房</w:t>
            </w:r>
          </w:p>
        </w:tc>
        <w:tc>
          <w:tcPr>
            <w:tcW w:w="2647" w:type="dxa"/>
            <w:vAlign w:val="center"/>
          </w:tcPr>
          <w:p>
            <w:pPr>
              <w:widowControl w:val="0"/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管理用房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  <w:jc w:val="center"/>
        </w:trPr>
        <w:tc>
          <w:tcPr>
            <w:tcW w:w="577" w:type="dxa"/>
            <w:vAlign w:val="center"/>
          </w:tcPr>
          <w:p>
            <w:pPr>
              <w:widowControl w:val="0"/>
              <w:ind w:firstLine="0" w:firstLineChars="0"/>
              <w:jc w:val="center"/>
              <w:textAlignment w:val="top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  <w:t>配套设施</w:t>
            </w:r>
          </w:p>
        </w:tc>
        <w:tc>
          <w:tcPr>
            <w:tcW w:w="2649" w:type="dxa"/>
            <w:vAlign w:val="center"/>
          </w:tcPr>
          <w:p>
            <w:pPr>
              <w:widowControl w:val="0"/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规模化粮食生产所必需晾晒场、粮食果品烘干设施、粮食和农资临时存放场所、大型农机具临时存放场所</w:t>
            </w:r>
          </w:p>
        </w:tc>
        <w:tc>
          <w:tcPr>
            <w:tcW w:w="2649" w:type="dxa"/>
            <w:vAlign w:val="center"/>
          </w:tcPr>
          <w:p>
            <w:pPr>
              <w:widowControl w:val="0"/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647" w:type="dxa"/>
            <w:vAlign w:val="center"/>
          </w:tcPr>
          <w:p>
            <w:pPr>
              <w:widowControl w:val="0"/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</w:tbl>
    <w:p>
      <w:pPr>
        <w:pStyle w:val="2"/>
        <w:ind w:firstLine="0"/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  <w:ind w:firstLine="560"/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0O3bcsAgAAV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vQ7dt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ind w:firstLine="560"/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2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560"/>
      </w:pPr>
      <w:r>
        <w:separator/>
      </w:r>
    </w:p>
  </w:footnote>
  <w:footnote w:type="continuationSeparator" w:id="1">
    <w:p>
      <w:pPr>
        <w:spacing w:line="240" w:lineRule="auto"/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JkMTZiYWFmNGE1NzdiNGYwOGJjZTI5YWUzN2JkMTQifQ=="/>
  </w:docVars>
  <w:rsids>
    <w:rsidRoot w:val="00172A27"/>
    <w:rsid w:val="00024EA4"/>
    <w:rsid w:val="00030EFB"/>
    <w:rsid w:val="0003402A"/>
    <w:rsid w:val="00034A7A"/>
    <w:rsid w:val="0004091D"/>
    <w:rsid w:val="0005321F"/>
    <w:rsid w:val="00064A69"/>
    <w:rsid w:val="0007007C"/>
    <w:rsid w:val="000934F6"/>
    <w:rsid w:val="000A1F7F"/>
    <w:rsid w:val="000A3A8F"/>
    <w:rsid w:val="000B1F97"/>
    <w:rsid w:val="000B3290"/>
    <w:rsid w:val="000C625C"/>
    <w:rsid w:val="000D1621"/>
    <w:rsid w:val="000D40C2"/>
    <w:rsid w:val="000D679E"/>
    <w:rsid w:val="000D6882"/>
    <w:rsid w:val="000F70B8"/>
    <w:rsid w:val="00100039"/>
    <w:rsid w:val="0011593C"/>
    <w:rsid w:val="001352C5"/>
    <w:rsid w:val="00142A34"/>
    <w:rsid w:val="00146D5A"/>
    <w:rsid w:val="00150030"/>
    <w:rsid w:val="00172A27"/>
    <w:rsid w:val="00193A0B"/>
    <w:rsid w:val="001B5D8A"/>
    <w:rsid w:val="001B758C"/>
    <w:rsid w:val="001C7C6D"/>
    <w:rsid w:val="001C7F94"/>
    <w:rsid w:val="001F3A2D"/>
    <w:rsid w:val="001F495D"/>
    <w:rsid w:val="001F591B"/>
    <w:rsid w:val="00207752"/>
    <w:rsid w:val="00207851"/>
    <w:rsid w:val="00210951"/>
    <w:rsid w:val="00212361"/>
    <w:rsid w:val="002141B2"/>
    <w:rsid w:val="002166BC"/>
    <w:rsid w:val="00227344"/>
    <w:rsid w:val="00227E95"/>
    <w:rsid w:val="00232C3C"/>
    <w:rsid w:val="002408DC"/>
    <w:rsid w:val="0024387F"/>
    <w:rsid w:val="002469D1"/>
    <w:rsid w:val="00284A75"/>
    <w:rsid w:val="002B017B"/>
    <w:rsid w:val="002C1FD1"/>
    <w:rsid w:val="002D0887"/>
    <w:rsid w:val="002D7E91"/>
    <w:rsid w:val="002E203D"/>
    <w:rsid w:val="0030305F"/>
    <w:rsid w:val="00314F61"/>
    <w:rsid w:val="00324402"/>
    <w:rsid w:val="003250F1"/>
    <w:rsid w:val="00330F51"/>
    <w:rsid w:val="00335099"/>
    <w:rsid w:val="00341E90"/>
    <w:rsid w:val="0035726B"/>
    <w:rsid w:val="00357522"/>
    <w:rsid w:val="00363692"/>
    <w:rsid w:val="003A17E2"/>
    <w:rsid w:val="003B3801"/>
    <w:rsid w:val="003B6E7D"/>
    <w:rsid w:val="003B718E"/>
    <w:rsid w:val="003C239F"/>
    <w:rsid w:val="003C56BA"/>
    <w:rsid w:val="003D0E7D"/>
    <w:rsid w:val="00405457"/>
    <w:rsid w:val="00410BC9"/>
    <w:rsid w:val="004121B5"/>
    <w:rsid w:val="00426394"/>
    <w:rsid w:val="00426887"/>
    <w:rsid w:val="00442553"/>
    <w:rsid w:val="004644EC"/>
    <w:rsid w:val="004766F1"/>
    <w:rsid w:val="004901BB"/>
    <w:rsid w:val="004A0759"/>
    <w:rsid w:val="004A186C"/>
    <w:rsid w:val="004A2C8A"/>
    <w:rsid w:val="004A5EC2"/>
    <w:rsid w:val="004D11A4"/>
    <w:rsid w:val="004D2BF3"/>
    <w:rsid w:val="004D592F"/>
    <w:rsid w:val="004F5107"/>
    <w:rsid w:val="005039D6"/>
    <w:rsid w:val="00505B19"/>
    <w:rsid w:val="00517617"/>
    <w:rsid w:val="00517F40"/>
    <w:rsid w:val="00537B07"/>
    <w:rsid w:val="00545265"/>
    <w:rsid w:val="00550C09"/>
    <w:rsid w:val="005533C6"/>
    <w:rsid w:val="005677B0"/>
    <w:rsid w:val="0057428D"/>
    <w:rsid w:val="005806B8"/>
    <w:rsid w:val="00590092"/>
    <w:rsid w:val="00590B97"/>
    <w:rsid w:val="00592E28"/>
    <w:rsid w:val="005B2BF1"/>
    <w:rsid w:val="005B59E4"/>
    <w:rsid w:val="005C09CC"/>
    <w:rsid w:val="005D550E"/>
    <w:rsid w:val="005D660B"/>
    <w:rsid w:val="005E07F7"/>
    <w:rsid w:val="005E09B5"/>
    <w:rsid w:val="005E4892"/>
    <w:rsid w:val="005F3501"/>
    <w:rsid w:val="005F6FB5"/>
    <w:rsid w:val="00616F9B"/>
    <w:rsid w:val="00630B67"/>
    <w:rsid w:val="006312B2"/>
    <w:rsid w:val="00631934"/>
    <w:rsid w:val="006501EA"/>
    <w:rsid w:val="006557CF"/>
    <w:rsid w:val="006722D9"/>
    <w:rsid w:val="0067254D"/>
    <w:rsid w:val="006758D1"/>
    <w:rsid w:val="006832E9"/>
    <w:rsid w:val="00683364"/>
    <w:rsid w:val="006839B9"/>
    <w:rsid w:val="00690E67"/>
    <w:rsid w:val="00696991"/>
    <w:rsid w:val="00697BFF"/>
    <w:rsid w:val="006A070D"/>
    <w:rsid w:val="006B6A09"/>
    <w:rsid w:val="006C0B43"/>
    <w:rsid w:val="006E0EA3"/>
    <w:rsid w:val="006E2BF9"/>
    <w:rsid w:val="006E50E0"/>
    <w:rsid w:val="006E6796"/>
    <w:rsid w:val="006F05D3"/>
    <w:rsid w:val="006F54A4"/>
    <w:rsid w:val="007068A5"/>
    <w:rsid w:val="00725704"/>
    <w:rsid w:val="007329B6"/>
    <w:rsid w:val="00745382"/>
    <w:rsid w:val="00747366"/>
    <w:rsid w:val="00753CFF"/>
    <w:rsid w:val="00787EB9"/>
    <w:rsid w:val="007A03CD"/>
    <w:rsid w:val="007B26B4"/>
    <w:rsid w:val="007B6F60"/>
    <w:rsid w:val="007B783E"/>
    <w:rsid w:val="007C752E"/>
    <w:rsid w:val="007D3977"/>
    <w:rsid w:val="007D3B13"/>
    <w:rsid w:val="007D6496"/>
    <w:rsid w:val="007E761E"/>
    <w:rsid w:val="007F43A2"/>
    <w:rsid w:val="008024CC"/>
    <w:rsid w:val="0081151C"/>
    <w:rsid w:val="00814C3C"/>
    <w:rsid w:val="0082409C"/>
    <w:rsid w:val="0084361C"/>
    <w:rsid w:val="0085307C"/>
    <w:rsid w:val="00866160"/>
    <w:rsid w:val="00876211"/>
    <w:rsid w:val="008849DB"/>
    <w:rsid w:val="00890F7B"/>
    <w:rsid w:val="0089678D"/>
    <w:rsid w:val="008A37C4"/>
    <w:rsid w:val="008C0F54"/>
    <w:rsid w:val="008C3B40"/>
    <w:rsid w:val="008D444D"/>
    <w:rsid w:val="008D7729"/>
    <w:rsid w:val="008D7A3C"/>
    <w:rsid w:val="008E2A3D"/>
    <w:rsid w:val="008E4A84"/>
    <w:rsid w:val="008F08F6"/>
    <w:rsid w:val="008F72B9"/>
    <w:rsid w:val="009271E8"/>
    <w:rsid w:val="00933320"/>
    <w:rsid w:val="00961817"/>
    <w:rsid w:val="009909C8"/>
    <w:rsid w:val="009A4837"/>
    <w:rsid w:val="009C1E8D"/>
    <w:rsid w:val="009D1550"/>
    <w:rsid w:val="009D4C41"/>
    <w:rsid w:val="00A04903"/>
    <w:rsid w:val="00A04E82"/>
    <w:rsid w:val="00A05201"/>
    <w:rsid w:val="00A07538"/>
    <w:rsid w:val="00A25A18"/>
    <w:rsid w:val="00A37F4B"/>
    <w:rsid w:val="00A4185E"/>
    <w:rsid w:val="00A469B8"/>
    <w:rsid w:val="00A5004F"/>
    <w:rsid w:val="00A529F2"/>
    <w:rsid w:val="00A55735"/>
    <w:rsid w:val="00A573BC"/>
    <w:rsid w:val="00A73CD4"/>
    <w:rsid w:val="00A9492C"/>
    <w:rsid w:val="00A97678"/>
    <w:rsid w:val="00AA35C4"/>
    <w:rsid w:val="00AC662F"/>
    <w:rsid w:val="00AD315D"/>
    <w:rsid w:val="00AD6DF0"/>
    <w:rsid w:val="00AF3940"/>
    <w:rsid w:val="00B00CCC"/>
    <w:rsid w:val="00B071CD"/>
    <w:rsid w:val="00B1759C"/>
    <w:rsid w:val="00B2528E"/>
    <w:rsid w:val="00B35AFE"/>
    <w:rsid w:val="00B36955"/>
    <w:rsid w:val="00B36F59"/>
    <w:rsid w:val="00B43DBB"/>
    <w:rsid w:val="00B44F4D"/>
    <w:rsid w:val="00B456C5"/>
    <w:rsid w:val="00B75778"/>
    <w:rsid w:val="00B9214A"/>
    <w:rsid w:val="00BA3D1E"/>
    <w:rsid w:val="00BA4C2F"/>
    <w:rsid w:val="00BB7207"/>
    <w:rsid w:val="00BC6B95"/>
    <w:rsid w:val="00BC77B0"/>
    <w:rsid w:val="00BD1F87"/>
    <w:rsid w:val="00BD45B0"/>
    <w:rsid w:val="00BE7797"/>
    <w:rsid w:val="00C026C9"/>
    <w:rsid w:val="00C23A8F"/>
    <w:rsid w:val="00C273AF"/>
    <w:rsid w:val="00C45769"/>
    <w:rsid w:val="00C47DCD"/>
    <w:rsid w:val="00C57374"/>
    <w:rsid w:val="00C60600"/>
    <w:rsid w:val="00C61B82"/>
    <w:rsid w:val="00C67F44"/>
    <w:rsid w:val="00C7340A"/>
    <w:rsid w:val="00C8192A"/>
    <w:rsid w:val="00C82A84"/>
    <w:rsid w:val="00C86F4A"/>
    <w:rsid w:val="00C92EFB"/>
    <w:rsid w:val="00CC1E2A"/>
    <w:rsid w:val="00CC44A2"/>
    <w:rsid w:val="00CC78CE"/>
    <w:rsid w:val="00CE7E9F"/>
    <w:rsid w:val="00CF2433"/>
    <w:rsid w:val="00D056B9"/>
    <w:rsid w:val="00D05F67"/>
    <w:rsid w:val="00D10CF9"/>
    <w:rsid w:val="00D14F9A"/>
    <w:rsid w:val="00D168B7"/>
    <w:rsid w:val="00D37CCE"/>
    <w:rsid w:val="00D5073A"/>
    <w:rsid w:val="00D5617C"/>
    <w:rsid w:val="00D605B0"/>
    <w:rsid w:val="00D75CB4"/>
    <w:rsid w:val="00D77BB6"/>
    <w:rsid w:val="00D962FF"/>
    <w:rsid w:val="00DA0298"/>
    <w:rsid w:val="00DA1074"/>
    <w:rsid w:val="00DA6069"/>
    <w:rsid w:val="00DB34B8"/>
    <w:rsid w:val="00DB6596"/>
    <w:rsid w:val="00DC2E7C"/>
    <w:rsid w:val="00DC3F99"/>
    <w:rsid w:val="00DE10F6"/>
    <w:rsid w:val="00DE376B"/>
    <w:rsid w:val="00DE3BF3"/>
    <w:rsid w:val="00DF6ACB"/>
    <w:rsid w:val="00E05B56"/>
    <w:rsid w:val="00E26CF3"/>
    <w:rsid w:val="00E335B4"/>
    <w:rsid w:val="00E41AC2"/>
    <w:rsid w:val="00E42E2F"/>
    <w:rsid w:val="00E4401A"/>
    <w:rsid w:val="00E469C2"/>
    <w:rsid w:val="00E5098F"/>
    <w:rsid w:val="00E7122E"/>
    <w:rsid w:val="00E76256"/>
    <w:rsid w:val="00E81173"/>
    <w:rsid w:val="00E832BC"/>
    <w:rsid w:val="00E9543A"/>
    <w:rsid w:val="00EB235E"/>
    <w:rsid w:val="00EE4EC5"/>
    <w:rsid w:val="00F108DC"/>
    <w:rsid w:val="00F1155A"/>
    <w:rsid w:val="00F168CF"/>
    <w:rsid w:val="00F22B91"/>
    <w:rsid w:val="00F34676"/>
    <w:rsid w:val="00F403FA"/>
    <w:rsid w:val="00F527AB"/>
    <w:rsid w:val="00F53053"/>
    <w:rsid w:val="00F55F28"/>
    <w:rsid w:val="00F7012C"/>
    <w:rsid w:val="00F74A49"/>
    <w:rsid w:val="00F76971"/>
    <w:rsid w:val="00F97408"/>
    <w:rsid w:val="00FB24C6"/>
    <w:rsid w:val="00FC0619"/>
    <w:rsid w:val="00FC1790"/>
    <w:rsid w:val="00FD158E"/>
    <w:rsid w:val="00FE0C9B"/>
    <w:rsid w:val="02104022"/>
    <w:rsid w:val="02D768EE"/>
    <w:rsid w:val="05611FC2"/>
    <w:rsid w:val="06135E8F"/>
    <w:rsid w:val="063A78C0"/>
    <w:rsid w:val="0BE4053F"/>
    <w:rsid w:val="0E876B6C"/>
    <w:rsid w:val="0EFC1C7C"/>
    <w:rsid w:val="0FAC808B"/>
    <w:rsid w:val="0FFF79CF"/>
    <w:rsid w:val="156838CD"/>
    <w:rsid w:val="15DE404E"/>
    <w:rsid w:val="190D71E9"/>
    <w:rsid w:val="1DB13FA7"/>
    <w:rsid w:val="1E2FB501"/>
    <w:rsid w:val="1FDF009C"/>
    <w:rsid w:val="21745C82"/>
    <w:rsid w:val="22A939AB"/>
    <w:rsid w:val="23F606AB"/>
    <w:rsid w:val="2BFB4DDA"/>
    <w:rsid w:val="32AA2E28"/>
    <w:rsid w:val="399F745E"/>
    <w:rsid w:val="3B084B8F"/>
    <w:rsid w:val="3D5C260B"/>
    <w:rsid w:val="3FB660BD"/>
    <w:rsid w:val="3FDB7EAE"/>
    <w:rsid w:val="431762B8"/>
    <w:rsid w:val="43454BD3"/>
    <w:rsid w:val="47EB0361"/>
    <w:rsid w:val="486401FC"/>
    <w:rsid w:val="4B7670FE"/>
    <w:rsid w:val="4EC45545"/>
    <w:rsid w:val="4F5C867A"/>
    <w:rsid w:val="4FC71F15"/>
    <w:rsid w:val="5124051D"/>
    <w:rsid w:val="52AA6914"/>
    <w:rsid w:val="5325057D"/>
    <w:rsid w:val="5439197C"/>
    <w:rsid w:val="5735FE90"/>
    <w:rsid w:val="57FF3E0A"/>
    <w:rsid w:val="57FFE1E3"/>
    <w:rsid w:val="59D40726"/>
    <w:rsid w:val="59EA12A0"/>
    <w:rsid w:val="5A7140A7"/>
    <w:rsid w:val="5BFE48DF"/>
    <w:rsid w:val="5EAD444C"/>
    <w:rsid w:val="60DF0DF4"/>
    <w:rsid w:val="63A26CA4"/>
    <w:rsid w:val="63F3A6D5"/>
    <w:rsid w:val="65077AE2"/>
    <w:rsid w:val="69FF2BAD"/>
    <w:rsid w:val="6BB0FCBD"/>
    <w:rsid w:val="6D32066F"/>
    <w:rsid w:val="6E946607"/>
    <w:rsid w:val="6FDE3695"/>
    <w:rsid w:val="6FDFA35E"/>
    <w:rsid w:val="709C6087"/>
    <w:rsid w:val="732B52E4"/>
    <w:rsid w:val="758DA85C"/>
    <w:rsid w:val="767B2267"/>
    <w:rsid w:val="7777A53A"/>
    <w:rsid w:val="77962542"/>
    <w:rsid w:val="77F9A12D"/>
    <w:rsid w:val="78AE679B"/>
    <w:rsid w:val="78C11F87"/>
    <w:rsid w:val="79BA2F1D"/>
    <w:rsid w:val="7ADF480F"/>
    <w:rsid w:val="7AFD3713"/>
    <w:rsid w:val="7DB34CF8"/>
    <w:rsid w:val="7EF7FE48"/>
    <w:rsid w:val="7F694A45"/>
    <w:rsid w:val="7F7F9456"/>
    <w:rsid w:val="7FBC9060"/>
    <w:rsid w:val="7FFF20E7"/>
    <w:rsid w:val="84DF9A14"/>
    <w:rsid w:val="8FF39CCD"/>
    <w:rsid w:val="9EDE80A9"/>
    <w:rsid w:val="9EEF2993"/>
    <w:rsid w:val="ADCFAC31"/>
    <w:rsid w:val="B3CD4B01"/>
    <w:rsid w:val="B3F7403A"/>
    <w:rsid w:val="B7DB2117"/>
    <w:rsid w:val="B8FE81FB"/>
    <w:rsid w:val="BEFF4951"/>
    <w:rsid w:val="BF71F572"/>
    <w:rsid w:val="BF988AEB"/>
    <w:rsid w:val="BFEBBD4B"/>
    <w:rsid w:val="C8CA03CC"/>
    <w:rsid w:val="CFD728E9"/>
    <w:rsid w:val="CFEE1F2B"/>
    <w:rsid w:val="CFFF7321"/>
    <w:rsid w:val="DC77BCA7"/>
    <w:rsid w:val="DDBB8D75"/>
    <w:rsid w:val="DE53A733"/>
    <w:rsid w:val="E2FF9B33"/>
    <w:rsid w:val="E615AAE9"/>
    <w:rsid w:val="E7DFD40E"/>
    <w:rsid w:val="EB1E4AA9"/>
    <w:rsid w:val="EF3F663B"/>
    <w:rsid w:val="EF5E3BBD"/>
    <w:rsid w:val="EFF474AC"/>
    <w:rsid w:val="FB6FF180"/>
    <w:rsid w:val="FB732394"/>
    <w:rsid w:val="FBFD238B"/>
    <w:rsid w:val="FBFFAC9C"/>
    <w:rsid w:val="FED3E22C"/>
    <w:rsid w:val="FF7F92DF"/>
    <w:rsid w:val="FFBF5BC2"/>
    <w:rsid w:val="FFBFB9F7"/>
    <w:rsid w:val="FFC7F295"/>
    <w:rsid w:val="FFDF36BE"/>
    <w:rsid w:val="FFE65FAE"/>
    <w:rsid w:val="FFFE97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spacing w:line="560" w:lineRule="exact"/>
      <w:ind w:firstLine="720" w:firstLineChars="200"/>
    </w:pPr>
    <w:rPr>
      <w:rFonts w:eastAsia="仿宋" w:asciiTheme="minorHAnsi" w:hAnsiTheme="minorHAnsi" w:cstheme="minorBidi"/>
      <w:kern w:val="2"/>
      <w:sz w:val="28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ind w:firstLine="0" w:firstLineChars="0"/>
      <w:outlineLvl w:val="0"/>
    </w:pPr>
    <w:rPr>
      <w:rFonts w:eastAsia="黑体"/>
      <w:b/>
      <w:kern w:val="44"/>
    </w:rPr>
  </w:style>
  <w:style w:type="paragraph" w:styleId="4">
    <w:name w:val="heading 2"/>
    <w:basedOn w:val="1"/>
    <w:next w:val="1"/>
    <w:qFormat/>
    <w:uiPriority w:val="1"/>
    <w:pPr>
      <w:ind w:left="1776"/>
      <w:outlineLvl w:val="1"/>
    </w:pPr>
    <w:rPr>
      <w:b/>
      <w:bCs/>
      <w:sz w:val="32"/>
      <w:szCs w:val="32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 文"/>
    <w:qFormat/>
    <w:uiPriority w:val="0"/>
    <w:pPr>
      <w:ind w:firstLine="200"/>
    </w:pPr>
    <w:rPr>
      <w:rFonts w:ascii="宋体" w:hAnsi="宋体" w:eastAsia="宋体" w:cs="Times New Roman"/>
      <w:lang w:val="en-US" w:eastAsia="zh-CN" w:bidi="ar-SA"/>
    </w:rPr>
  </w:style>
  <w:style w:type="paragraph" w:styleId="5">
    <w:name w:val="annotation text"/>
    <w:basedOn w:val="1"/>
    <w:link w:val="28"/>
    <w:qFormat/>
    <w:uiPriority w:val="0"/>
  </w:style>
  <w:style w:type="paragraph" w:styleId="6">
    <w:name w:val="Body Text"/>
    <w:basedOn w:val="1"/>
    <w:link w:val="20"/>
    <w:qFormat/>
    <w:uiPriority w:val="1"/>
    <w:rPr>
      <w:sz w:val="21"/>
      <w:szCs w:val="21"/>
    </w:rPr>
  </w:style>
  <w:style w:type="paragraph" w:styleId="7">
    <w:name w:val="Body Text Indent"/>
    <w:basedOn w:val="1"/>
    <w:qFormat/>
    <w:uiPriority w:val="0"/>
    <w:pPr>
      <w:spacing w:after="120"/>
      <w:ind w:left="420" w:leftChars="200"/>
    </w:p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</w:pPr>
    <w:rPr>
      <w:sz w:val="18"/>
    </w:rPr>
  </w:style>
  <w:style w:type="paragraph" w:styleId="10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hint="eastAsia" w:ascii="宋体" w:hAnsi="宋体" w:eastAsia="宋体" w:cs="Times New Roman"/>
      <w:kern w:val="0"/>
      <w:sz w:val="24"/>
      <w:szCs w:val="24"/>
    </w:rPr>
  </w:style>
  <w:style w:type="paragraph" w:styleId="11">
    <w:name w:val="Normal (Web)"/>
    <w:basedOn w:val="1"/>
    <w:qFormat/>
    <w:uiPriority w:val="0"/>
    <w:pPr>
      <w:spacing w:beforeAutospacing="1" w:afterAutospacing="1"/>
    </w:pPr>
    <w:rPr>
      <w:rFonts w:cs="Times New Roman"/>
      <w:kern w:val="0"/>
      <w:sz w:val="24"/>
    </w:rPr>
  </w:style>
  <w:style w:type="paragraph" w:styleId="12">
    <w:name w:val="annotation subject"/>
    <w:basedOn w:val="5"/>
    <w:next w:val="5"/>
    <w:link w:val="29"/>
    <w:qFormat/>
    <w:uiPriority w:val="0"/>
    <w:rPr>
      <w:b/>
      <w:bCs/>
    </w:rPr>
  </w:style>
  <w:style w:type="table" w:styleId="14">
    <w:name w:val="Table Grid"/>
    <w:basedOn w:val="1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character" w:styleId="16">
    <w:name w:val="annotation reference"/>
    <w:basedOn w:val="15"/>
    <w:qFormat/>
    <w:uiPriority w:val="0"/>
    <w:rPr>
      <w:sz w:val="21"/>
      <w:szCs w:val="21"/>
    </w:rPr>
  </w:style>
  <w:style w:type="paragraph" w:customStyle="1" w:styleId="17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Calibri" w:eastAsia="宋体" w:cs="仿宋_GB2312"/>
      <w:color w:val="000000"/>
      <w:sz w:val="24"/>
      <w:szCs w:val="24"/>
      <w:lang w:val="en-US" w:eastAsia="zh-CN" w:bidi="ar-SA"/>
    </w:rPr>
  </w:style>
  <w:style w:type="paragraph" w:customStyle="1" w:styleId="18">
    <w:name w:val="Table Paragraph"/>
    <w:basedOn w:val="1"/>
    <w:qFormat/>
    <w:uiPriority w:val="1"/>
  </w:style>
  <w:style w:type="table" w:customStyle="1" w:styleId="19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0">
    <w:name w:val="正文文本 字符"/>
    <w:link w:val="6"/>
    <w:qFormat/>
    <w:uiPriority w:val="1"/>
    <w:rPr>
      <w:sz w:val="21"/>
      <w:szCs w:val="21"/>
    </w:rPr>
  </w:style>
  <w:style w:type="paragraph" w:customStyle="1" w:styleId="21">
    <w:name w:val="修订1"/>
    <w:hidden/>
    <w:unhideWhenUsed/>
    <w:qFormat/>
    <w:uiPriority w:val="99"/>
    <w:rPr>
      <w:rFonts w:eastAsia="仿宋" w:asciiTheme="minorHAnsi" w:hAnsiTheme="minorHAnsi" w:cstheme="minorBidi"/>
      <w:kern w:val="2"/>
      <w:sz w:val="28"/>
      <w:szCs w:val="22"/>
      <w:lang w:val="en-US" w:eastAsia="zh-CN" w:bidi="ar-SA"/>
    </w:rPr>
  </w:style>
  <w:style w:type="paragraph" w:customStyle="1" w:styleId="22">
    <w:name w:val="修订2"/>
    <w:hidden/>
    <w:unhideWhenUsed/>
    <w:qFormat/>
    <w:uiPriority w:val="99"/>
    <w:rPr>
      <w:rFonts w:eastAsia="仿宋" w:asciiTheme="minorHAnsi" w:hAnsiTheme="minorHAnsi" w:cstheme="minorBidi"/>
      <w:kern w:val="2"/>
      <w:sz w:val="28"/>
      <w:szCs w:val="22"/>
      <w:lang w:val="en-US" w:eastAsia="zh-CN" w:bidi="ar-SA"/>
    </w:rPr>
  </w:style>
  <w:style w:type="paragraph" w:styleId="23">
    <w:name w:val="List Paragraph"/>
    <w:basedOn w:val="1"/>
    <w:unhideWhenUsed/>
    <w:qFormat/>
    <w:uiPriority w:val="99"/>
    <w:pPr>
      <w:ind w:firstLine="420"/>
    </w:pPr>
  </w:style>
  <w:style w:type="paragraph" w:customStyle="1" w:styleId="24">
    <w:name w:val="修订3"/>
    <w:hidden/>
    <w:unhideWhenUsed/>
    <w:qFormat/>
    <w:uiPriority w:val="99"/>
    <w:rPr>
      <w:rFonts w:eastAsia="仿宋" w:asciiTheme="minorHAnsi" w:hAnsiTheme="minorHAnsi" w:cstheme="minorBidi"/>
      <w:kern w:val="2"/>
      <w:sz w:val="28"/>
      <w:szCs w:val="22"/>
      <w:lang w:val="en-US" w:eastAsia="zh-CN" w:bidi="ar-SA"/>
    </w:rPr>
  </w:style>
  <w:style w:type="paragraph" w:customStyle="1" w:styleId="25">
    <w:name w:val="修订4"/>
    <w:hidden/>
    <w:unhideWhenUsed/>
    <w:qFormat/>
    <w:uiPriority w:val="99"/>
    <w:rPr>
      <w:rFonts w:eastAsia="仿宋" w:asciiTheme="minorHAnsi" w:hAnsiTheme="minorHAnsi" w:cstheme="minorBidi"/>
      <w:kern w:val="2"/>
      <w:sz w:val="28"/>
      <w:szCs w:val="22"/>
      <w:lang w:val="en-US" w:eastAsia="zh-CN" w:bidi="ar-SA"/>
    </w:rPr>
  </w:style>
  <w:style w:type="paragraph" w:customStyle="1" w:styleId="26">
    <w:name w:val="修订5"/>
    <w:hidden/>
    <w:unhideWhenUsed/>
    <w:qFormat/>
    <w:uiPriority w:val="99"/>
    <w:rPr>
      <w:rFonts w:eastAsia="仿宋" w:asciiTheme="minorHAnsi" w:hAnsiTheme="minorHAnsi" w:cstheme="minorBidi"/>
      <w:kern w:val="2"/>
      <w:sz w:val="28"/>
      <w:szCs w:val="22"/>
      <w:lang w:val="en-US" w:eastAsia="zh-CN" w:bidi="ar-SA"/>
    </w:rPr>
  </w:style>
  <w:style w:type="table" w:customStyle="1" w:styleId="27">
    <w:name w:val="网格型1"/>
    <w:basedOn w:val="1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28">
    <w:name w:val="批注文字 字符"/>
    <w:basedOn w:val="15"/>
    <w:link w:val="5"/>
    <w:qFormat/>
    <w:uiPriority w:val="0"/>
    <w:rPr>
      <w:rFonts w:eastAsia="仿宋" w:asciiTheme="minorHAnsi" w:hAnsiTheme="minorHAnsi" w:cstheme="minorBidi"/>
      <w:kern w:val="2"/>
      <w:sz w:val="28"/>
      <w:szCs w:val="22"/>
    </w:rPr>
  </w:style>
  <w:style w:type="character" w:customStyle="1" w:styleId="29">
    <w:name w:val="批注主题 字符"/>
    <w:basedOn w:val="28"/>
    <w:link w:val="12"/>
    <w:qFormat/>
    <w:uiPriority w:val="0"/>
    <w:rPr>
      <w:rFonts w:eastAsia="仿宋" w:asciiTheme="minorHAnsi" w:hAnsiTheme="minorHAnsi" w:cstheme="minorBidi"/>
      <w:b/>
      <w:bCs/>
      <w:kern w:val="2"/>
      <w:sz w:val="28"/>
      <w:szCs w:val="22"/>
    </w:rPr>
  </w:style>
  <w:style w:type="paragraph" w:customStyle="1" w:styleId="30">
    <w:name w:val="修订6"/>
    <w:hidden/>
    <w:unhideWhenUsed/>
    <w:qFormat/>
    <w:uiPriority w:val="99"/>
    <w:rPr>
      <w:rFonts w:eastAsia="仿宋" w:asciiTheme="minorHAnsi" w:hAnsiTheme="minorHAnsi" w:cstheme="minorBidi"/>
      <w:kern w:val="2"/>
      <w:sz w:val="28"/>
      <w:szCs w:val="22"/>
      <w:lang w:val="en-US" w:eastAsia="zh-CN" w:bidi="ar-SA"/>
    </w:rPr>
  </w:style>
  <w:style w:type="paragraph" w:customStyle="1" w:styleId="31">
    <w:name w:val="修订7"/>
    <w:hidden/>
    <w:unhideWhenUsed/>
    <w:qFormat/>
    <w:uiPriority w:val="99"/>
    <w:rPr>
      <w:rFonts w:eastAsia="仿宋" w:asciiTheme="minorHAnsi" w:hAnsiTheme="minorHAnsi" w:cstheme="minorBidi"/>
      <w:kern w:val="2"/>
      <w:sz w:val="28"/>
      <w:szCs w:val="22"/>
      <w:lang w:val="en-US" w:eastAsia="zh-CN" w:bidi="ar-SA"/>
    </w:rPr>
  </w:style>
  <w:style w:type="paragraph" w:customStyle="1" w:styleId="32">
    <w:name w:val="修订8"/>
    <w:hidden/>
    <w:unhideWhenUsed/>
    <w:qFormat/>
    <w:uiPriority w:val="99"/>
    <w:rPr>
      <w:rFonts w:eastAsia="仿宋" w:asciiTheme="minorHAnsi" w:hAnsiTheme="minorHAnsi" w:cstheme="minorBidi"/>
      <w:kern w:val="2"/>
      <w:sz w:val="28"/>
      <w:szCs w:val="22"/>
      <w:lang w:val="en-US" w:eastAsia="zh-CN" w:bidi="ar-SA"/>
    </w:rPr>
  </w:style>
  <w:style w:type="paragraph" w:customStyle="1" w:styleId="33">
    <w:name w:val="修订9"/>
    <w:hidden/>
    <w:unhideWhenUsed/>
    <w:qFormat/>
    <w:uiPriority w:val="99"/>
    <w:rPr>
      <w:rFonts w:eastAsia="仿宋" w:asciiTheme="minorHAnsi" w:hAnsiTheme="minorHAnsi" w:cstheme="minorBidi"/>
      <w:kern w:val="2"/>
      <w:sz w:val="28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4791</Words>
  <Characters>380</Characters>
  <Lines>3</Lines>
  <Paragraphs>10</Paragraphs>
  <TotalTime>17</TotalTime>
  <ScaleCrop>false</ScaleCrop>
  <LinksUpToDate>false</LinksUpToDate>
  <CharactersWithSpaces>5161</CharactersWithSpaces>
  <Application>WPS Office_12.1.0.15712_F1E327BC-269C-435d-A152-05C5408002CA</Application>
  <DocSecurity>4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2024-01-29T16:48:00Z</dcterms:created>
  <dc:creator>Angela-lee</dc:creator>
  <cp:lastModifiedBy>初醒、</cp:lastModifiedBy>
  <cp:lastPrinted>2024-01-26T08:03:00Z</cp:lastPrinted>
  <dcterms:modified xsi:type="dcterms:W3CDTF">2024-04-29T07:58:38Z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3F8A80F89D2644AA8C4A240E1D4E7223_13</vt:lpwstr>
  </property>
</Properties>
</file>